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954D89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0320039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3643E8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845314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207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014B23" w:rsidRPr="00014B23">
        <w:rPr>
          <w:rFonts w:eastAsiaTheme="minorHAnsi"/>
          <w:sz w:val="28"/>
          <w:szCs w:val="28"/>
          <w:lang w:eastAsia="en-US" w:bidi="en-US"/>
        </w:rPr>
        <w:t>05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A12C3E">
        <w:rPr>
          <w:rFonts w:eastAsiaTheme="minorHAnsi"/>
          <w:sz w:val="28"/>
          <w:szCs w:val="28"/>
          <w:lang w:eastAsia="en-US" w:bidi="en-US"/>
        </w:rPr>
        <w:t>липня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 w:rsidR="00A12C3E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A12C3E"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(</w:t>
      </w:r>
      <w:r w:rsidR="00A12C3E"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 w:rsidR="00A12C3E"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B0207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B0207">
        <w:rPr>
          <w:sz w:val="28"/>
          <w:szCs w:val="28"/>
          <w:lang w:val="ru-RU" w:bidi="en-US"/>
        </w:rPr>
        <w:t>а</w:t>
      </w:r>
      <w:r w:rsidR="00A12C3E">
        <w:rPr>
          <w:sz w:val="28"/>
          <w:szCs w:val="28"/>
          <w:lang w:val="ru-RU" w:bidi="en-US"/>
        </w:rPr>
        <w:t>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B0207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B0207">
        <w:rPr>
          <w:sz w:val="28"/>
          <w:szCs w:val="28"/>
          <w:lang w:val="ru-RU" w:bidi="en-US"/>
        </w:rPr>
        <w:t>а</w:t>
      </w:r>
      <w:r>
        <w:rPr>
          <w:sz w:val="28"/>
          <w:szCs w:val="28"/>
          <w:lang w:val="ru-RU" w:bidi="en-US"/>
        </w:rPr>
        <w:t>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2B0207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Дунаївці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</w:t>
      </w:r>
      <w:r w:rsidR="002B0207">
        <w:rPr>
          <w:sz w:val="28"/>
          <w:szCs w:val="28"/>
          <w:lang w:bidi="en-US"/>
        </w:rPr>
        <w:t xml:space="preserve">    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2B0207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2B0207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014B23">
        <w:rPr>
          <w:sz w:val="28"/>
          <w:szCs w:val="28"/>
          <w:lang w:bidi="en-US"/>
        </w:rPr>
        <w:t>4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014B23">
        <w:rPr>
          <w:sz w:val="28"/>
          <w:szCs w:val="28"/>
          <w:lang w:bidi="en-US"/>
        </w:rPr>
        <w:t>смт Нова Ушиця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lastRenderedPageBreak/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014B23">
        <w:rPr>
          <w:sz w:val="28"/>
          <w:szCs w:val="28"/>
          <w:lang w:bidi="en-US"/>
        </w:rPr>
        <w:t>5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014B23">
        <w:rPr>
          <w:sz w:val="28"/>
          <w:szCs w:val="28"/>
          <w:lang w:bidi="en-US"/>
        </w:rPr>
        <w:t>смт Віньківці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6</w:t>
      </w:r>
      <w:r w:rsidRPr="00AC348E">
        <w:rPr>
          <w:sz w:val="28"/>
          <w:szCs w:val="28"/>
          <w:lang w:bidi="en-US"/>
        </w:rPr>
        <w:t xml:space="preserve"> взводу охорони </w:t>
      </w:r>
      <w:r w:rsidR="00014B23">
        <w:rPr>
          <w:sz w:val="28"/>
          <w:szCs w:val="28"/>
          <w:lang w:bidi="en-US"/>
        </w:rPr>
        <w:t xml:space="preserve">  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 xml:space="preserve">(заступник командира відділення) </w:t>
      </w:r>
      <w:r w:rsidR="00014B23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7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</w:t>
      </w:r>
      <w:r>
        <w:rPr>
          <w:sz w:val="28"/>
          <w:szCs w:val="28"/>
          <w:lang w:bidi="en-US"/>
        </w:rPr>
        <w:t xml:space="preserve">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014B23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7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="00014B23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</w:t>
      </w:r>
      <w:r>
        <w:rPr>
          <w:sz w:val="28"/>
          <w:szCs w:val="28"/>
          <w:lang w:bidi="en-US"/>
        </w:rPr>
        <w:t xml:space="preserve"> </w:t>
      </w:r>
      <w:r w:rsidR="00014B23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</w:t>
      </w:r>
      <w:r>
        <w:rPr>
          <w:sz w:val="28"/>
          <w:szCs w:val="28"/>
          <w:lang w:bidi="en-US"/>
        </w:rPr>
        <w:t xml:space="preserve"> (смт </w:t>
      </w:r>
      <w:r w:rsidR="00014B23">
        <w:rPr>
          <w:sz w:val="28"/>
          <w:szCs w:val="28"/>
          <w:lang w:bidi="en-US"/>
        </w:rPr>
        <w:t>Ярмолинці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7</w:t>
      </w:r>
      <w:r w:rsidRPr="00AC348E">
        <w:rPr>
          <w:sz w:val="28"/>
          <w:szCs w:val="28"/>
          <w:lang w:bidi="en-US"/>
        </w:rPr>
        <w:t xml:space="preserve"> взводу охорони</w:t>
      </w:r>
      <w:r>
        <w:rPr>
          <w:sz w:val="28"/>
          <w:szCs w:val="28"/>
          <w:lang w:bidi="en-US"/>
        </w:rPr>
        <w:t xml:space="preserve"> </w:t>
      </w:r>
      <w:r w:rsidR="00014B23">
        <w:rPr>
          <w:sz w:val="28"/>
          <w:szCs w:val="28"/>
          <w:lang w:bidi="en-US"/>
        </w:rPr>
        <w:t xml:space="preserve">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</w:t>
      </w:r>
      <w:r>
        <w:rPr>
          <w:sz w:val="28"/>
          <w:szCs w:val="28"/>
          <w:lang w:bidi="en-US"/>
        </w:rPr>
        <w:t xml:space="preserve">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014B23">
        <w:rPr>
          <w:sz w:val="28"/>
          <w:szCs w:val="28"/>
          <w:lang w:val="ru-RU" w:bidi="en-US"/>
        </w:rPr>
        <w:t>2</w:t>
      </w:r>
      <w:r w:rsidRPr="00AC348E">
        <w:rPr>
          <w:sz w:val="28"/>
          <w:szCs w:val="28"/>
          <w:lang w:bidi="en-US"/>
        </w:rPr>
        <w:t xml:space="preserve"> посад</w:t>
      </w:r>
      <w:r w:rsidR="00014B23">
        <w:rPr>
          <w:sz w:val="28"/>
          <w:szCs w:val="28"/>
          <w:lang w:val="ru-RU" w:bidi="en-US"/>
        </w:rPr>
        <w:t>и</w:t>
      </w:r>
      <w:r>
        <w:rPr>
          <w:sz w:val="28"/>
          <w:szCs w:val="28"/>
          <w:lang w:val="ru-RU" w:bidi="en-US"/>
        </w:rPr>
        <w:t>;</w:t>
      </w:r>
    </w:p>
    <w:p w:rsidR="00014B23" w:rsidRDefault="00014B23" w:rsidP="00014B23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>(смт Стара Синява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смт Летичів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(смт </w:t>
      </w:r>
      <w:r w:rsidR="00014B23">
        <w:rPr>
          <w:sz w:val="28"/>
          <w:szCs w:val="28"/>
          <w:lang w:bidi="en-US"/>
        </w:rPr>
        <w:t>Стара Синява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 w:rsidR="00014B23">
        <w:rPr>
          <w:sz w:val="28"/>
          <w:szCs w:val="28"/>
          <w:lang w:bidi="en-US"/>
        </w:rPr>
        <w:t>смт Летичів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(м. </w:t>
      </w:r>
      <w:r w:rsidR="00014B23">
        <w:rPr>
          <w:sz w:val="28"/>
          <w:szCs w:val="28"/>
          <w:lang w:bidi="en-US"/>
        </w:rPr>
        <w:t>Деражня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 w:rsidR="00014B23">
        <w:rPr>
          <w:sz w:val="28"/>
          <w:szCs w:val="28"/>
          <w:lang w:bidi="en-US"/>
        </w:rPr>
        <w:t>смт Летичів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014B23">
        <w:rPr>
          <w:sz w:val="28"/>
          <w:szCs w:val="28"/>
          <w:lang w:val="ru-RU" w:bidi="en-US"/>
        </w:rPr>
        <w:t>2</w:t>
      </w:r>
      <w:r w:rsidRPr="00AC348E">
        <w:rPr>
          <w:sz w:val="28"/>
          <w:szCs w:val="28"/>
          <w:lang w:bidi="en-US"/>
        </w:rPr>
        <w:t xml:space="preserve"> посад</w:t>
      </w:r>
      <w:r w:rsidR="00014B23">
        <w:rPr>
          <w:sz w:val="28"/>
          <w:szCs w:val="28"/>
          <w:lang w:val="ru-RU" w:bidi="en-US"/>
        </w:rPr>
        <w:t>и</w:t>
      </w:r>
      <w:r>
        <w:rPr>
          <w:sz w:val="28"/>
          <w:szCs w:val="28"/>
          <w:lang w:val="ru-RU" w:bidi="en-US"/>
        </w:rPr>
        <w:t>;</w:t>
      </w:r>
    </w:p>
    <w:p w:rsidR="00A12C3E" w:rsidRDefault="00A12C3E" w:rsidP="00A12C3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 w:rsidR="00014B23">
        <w:rPr>
          <w:sz w:val="28"/>
          <w:szCs w:val="28"/>
          <w:lang w:bidi="en-US"/>
        </w:rPr>
        <w:t>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014B23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(смт </w:t>
      </w:r>
      <w:r w:rsidR="00014B23">
        <w:rPr>
          <w:sz w:val="28"/>
          <w:szCs w:val="28"/>
          <w:lang w:bidi="en-US"/>
        </w:rPr>
        <w:t>Летичів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</w:t>
      </w:r>
      <w:r>
        <w:rPr>
          <w:sz w:val="28"/>
          <w:szCs w:val="28"/>
          <w:lang w:bidi="en-US"/>
        </w:rPr>
        <w:t xml:space="preserve">                  </w:t>
      </w:r>
      <w:r w:rsidRPr="00AC348E">
        <w:rPr>
          <w:sz w:val="28"/>
          <w:szCs w:val="28"/>
          <w:lang w:bidi="en-US"/>
        </w:rPr>
        <w:t>(</w:t>
      </w:r>
      <w:r w:rsidR="00014B23">
        <w:rPr>
          <w:sz w:val="28"/>
          <w:szCs w:val="28"/>
          <w:lang w:bidi="en-US"/>
        </w:rPr>
        <w:t>смт Летичів</w:t>
      </w:r>
      <w:r w:rsidRPr="00AC348E">
        <w:rPr>
          <w:sz w:val="28"/>
          <w:szCs w:val="28"/>
          <w:lang w:bidi="en-US"/>
        </w:rPr>
        <w:t xml:space="preserve">) </w:t>
      </w:r>
      <w:r w:rsidR="00014B2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 xml:space="preserve">м. </w:t>
      </w:r>
      <w:r w:rsidR="00014B2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а</w:t>
      </w:r>
      <w:r w:rsidR="00014B2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4E7A56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E7A56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4E7A56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C42F3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C42F3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 xml:space="preserve">провести відповідно до Тимчасової інструкції з фізичної підготовки Служби </w:t>
      </w:r>
      <w:r>
        <w:rPr>
          <w:rFonts w:eastAsiaTheme="minorHAnsi"/>
          <w:sz w:val="28"/>
          <w:szCs w:val="28"/>
          <w:lang w:eastAsia="en-US" w:bidi="en-US"/>
        </w:rPr>
        <w:lastRenderedPageBreak/>
        <w:t>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 xml:space="preserve">тимчасовий виконувач обов’язків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>а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</w:t>
      </w:r>
      <w:r w:rsidR="003643E8">
        <w:rPr>
          <w:bCs/>
          <w:sz w:val="28"/>
          <w:szCs w:val="28"/>
        </w:rPr>
        <w:t>о/п</w:t>
      </w:r>
      <w:bookmarkStart w:id="3" w:name="_GoBack"/>
      <w:bookmarkEnd w:id="3"/>
      <w:r w:rsidR="007C2493">
        <w:rPr>
          <w:bCs/>
          <w:sz w:val="28"/>
          <w:szCs w:val="28"/>
        </w:rPr>
        <w:t xml:space="preserve">  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89" w:rsidRDefault="00954D89">
      <w:r>
        <w:separator/>
      </w:r>
    </w:p>
  </w:endnote>
  <w:endnote w:type="continuationSeparator" w:id="0">
    <w:p w:rsidR="00954D89" w:rsidRDefault="009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89" w:rsidRDefault="00954D89">
      <w:r>
        <w:separator/>
      </w:r>
    </w:p>
  </w:footnote>
  <w:footnote w:type="continuationSeparator" w:id="0">
    <w:p w:rsidR="00954D89" w:rsidRDefault="009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4B23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4B54"/>
    <w:rsid w:val="002B0207"/>
    <w:rsid w:val="002B5E17"/>
    <w:rsid w:val="002B73EA"/>
    <w:rsid w:val="002E3417"/>
    <w:rsid w:val="002E560A"/>
    <w:rsid w:val="00332F68"/>
    <w:rsid w:val="00342083"/>
    <w:rsid w:val="00352DE1"/>
    <w:rsid w:val="003643E8"/>
    <w:rsid w:val="003730C5"/>
    <w:rsid w:val="003737A1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4E7A56"/>
    <w:rsid w:val="005018C1"/>
    <w:rsid w:val="005076C5"/>
    <w:rsid w:val="00523B6F"/>
    <w:rsid w:val="00531BCD"/>
    <w:rsid w:val="00534EC7"/>
    <w:rsid w:val="00545547"/>
    <w:rsid w:val="0056673D"/>
    <w:rsid w:val="005A61C7"/>
    <w:rsid w:val="005D2BFA"/>
    <w:rsid w:val="005E21CB"/>
    <w:rsid w:val="00601539"/>
    <w:rsid w:val="00615923"/>
    <w:rsid w:val="00631E58"/>
    <w:rsid w:val="00653E32"/>
    <w:rsid w:val="00672936"/>
    <w:rsid w:val="00695746"/>
    <w:rsid w:val="006A7BD6"/>
    <w:rsid w:val="006E603B"/>
    <w:rsid w:val="006E7A38"/>
    <w:rsid w:val="0071526C"/>
    <w:rsid w:val="00731FC2"/>
    <w:rsid w:val="00745277"/>
    <w:rsid w:val="00763758"/>
    <w:rsid w:val="00777A08"/>
    <w:rsid w:val="00791556"/>
    <w:rsid w:val="0079333C"/>
    <w:rsid w:val="00795DE2"/>
    <w:rsid w:val="007A68D9"/>
    <w:rsid w:val="007C2493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54D89"/>
    <w:rsid w:val="00966823"/>
    <w:rsid w:val="009B6041"/>
    <w:rsid w:val="009C42F3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C6D75"/>
    <w:rsid w:val="00ED41EF"/>
    <w:rsid w:val="00ED72BB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E3DB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1F37D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5</cp:revision>
  <cp:lastPrinted>2024-06-19T08:36:00Z</cp:lastPrinted>
  <dcterms:created xsi:type="dcterms:W3CDTF">2024-06-19T08:08:00Z</dcterms:created>
  <dcterms:modified xsi:type="dcterms:W3CDTF">2024-06-19T13:34:00Z</dcterms:modified>
</cp:coreProperties>
</file>